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A89" w:rsidRDefault="00C13A89" w:rsidP="00482F43">
      <w:pPr>
        <w:jc w:val="center"/>
        <w:rPr>
          <w:b/>
          <w:sz w:val="32"/>
          <w:szCs w:val="32"/>
        </w:rPr>
      </w:pPr>
    </w:p>
    <w:p w:rsidR="001F74A0" w:rsidRPr="00FD2C11" w:rsidRDefault="00A90EC7" w:rsidP="00482F43">
      <w:pPr>
        <w:jc w:val="center"/>
        <w:rPr>
          <w:sz w:val="32"/>
          <w:szCs w:val="32"/>
        </w:rPr>
      </w:pPr>
      <w:r>
        <w:rPr>
          <w:noProof/>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pt;margin-top:49.7pt;width:77.3pt;height:107.6pt;z-index:251657728;mso-position-vertical-relative:page" o:allowincell="f">
            <v:imagedata r:id="rId9" o:title=""/>
            <w10:wrap type="square" anchory="page"/>
          </v:shape>
          <o:OLEObject Type="Embed" ProgID="MSPhotoEd.3" ShapeID="_x0000_s1026" DrawAspect="Content" ObjectID="_1603882374" r:id="rId10"/>
        </w:pict>
      </w:r>
      <w:r w:rsidR="00482F43" w:rsidRPr="00FD2C11">
        <w:rPr>
          <w:sz w:val="32"/>
          <w:szCs w:val="32"/>
        </w:rPr>
        <w:t>FORMULÁRIO DE COMENTÁRIOS E SUGESTÕES</w:t>
      </w:r>
    </w:p>
    <w:p w:rsidR="00C13A89" w:rsidRPr="0096568C" w:rsidRDefault="00C96874" w:rsidP="00BB004F">
      <w:pPr>
        <w:jc w:val="center"/>
        <w:rPr>
          <w:sz w:val="26"/>
          <w:szCs w:val="26"/>
        </w:rPr>
      </w:pPr>
      <w:r>
        <w:rPr>
          <w:sz w:val="26"/>
          <w:szCs w:val="26"/>
        </w:rPr>
        <w:t xml:space="preserve">TOMADA PÚBLICA DE CONTRIBUIÇÕES </w:t>
      </w:r>
      <w:r w:rsidR="00482F43" w:rsidRPr="00BB004F">
        <w:rPr>
          <w:sz w:val="26"/>
          <w:szCs w:val="26"/>
        </w:rPr>
        <w:t>N°</w:t>
      </w:r>
      <w:r w:rsidR="00C13A89">
        <w:rPr>
          <w:sz w:val="26"/>
          <w:szCs w:val="26"/>
        </w:rPr>
        <w:t xml:space="preserve"> </w:t>
      </w:r>
      <w:r w:rsidR="0096568C">
        <w:rPr>
          <w:sz w:val="26"/>
          <w:szCs w:val="26"/>
        </w:rPr>
        <w:t>3</w:t>
      </w:r>
      <w:r w:rsidR="00482F43" w:rsidRPr="00050F3F">
        <w:rPr>
          <w:sz w:val="26"/>
          <w:szCs w:val="26"/>
        </w:rPr>
        <w:t>/</w:t>
      </w:r>
      <w:r w:rsidR="00F229D8" w:rsidRPr="00050F3F">
        <w:rPr>
          <w:sz w:val="26"/>
          <w:szCs w:val="26"/>
        </w:rPr>
        <w:t>201</w:t>
      </w:r>
      <w:r w:rsidR="00CC5472">
        <w:rPr>
          <w:sz w:val="26"/>
          <w:szCs w:val="26"/>
        </w:rPr>
        <w:t>8</w:t>
      </w:r>
      <w:r w:rsidR="00C13A89" w:rsidRPr="0096568C">
        <w:rPr>
          <w:sz w:val="26"/>
          <w:szCs w:val="26"/>
        </w:rPr>
        <w:t>__</w:t>
      </w:r>
      <w:r w:rsidR="00482F43" w:rsidRPr="0096568C">
        <w:rPr>
          <w:sz w:val="26"/>
          <w:szCs w:val="26"/>
        </w:rPr>
        <w:t xml:space="preserve">__ - </w:t>
      </w:r>
      <w:r w:rsidR="00BB004F" w:rsidRPr="0096568C">
        <w:rPr>
          <w:sz w:val="26"/>
          <w:szCs w:val="26"/>
        </w:rPr>
        <w:t xml:space="preserve">DE </w:t>
      </w:r>
      <w:r w:rsidRPr="0096568C">
        <w:rPr>
          <w:sz w:val="26"/>
          <w:szCs w:val="26"/>
        </w:rPr>
        <w:t>2</w:t>
      </w:r>
      <w:r w:rsidR="002555FE" w:rsidRPr="0096568C">
        <w:rPr>
          <w:sz w:val="26"/>
          <w:szCs w:val="26"/>
        </w:rPr>
        <w:t>1</w:t>
      </w:r>
      <w:r w:rsidR="00BB004F" w:rsidRPr="0096568C">
        <w:rPr>
          <w:sz w:val="26"/>
          <w:szCs w:val="26"/>
        </w:rPr>
        <w:t>/</w:t>
      </w:r>
      <w:r w:rsidR="00452D91" w:rsidRPr="0096568C">
        <w:rPr>
          <w:sz w:val="26"/>
          <w:szCs w:val="26"/>
        </w:rPr>
        <w:t>0</w:t>
      </w:r>
      <w:r w:rsidRPr="0096568C">
        <w:rPr>
          <w:sz w:val="26"/>
          <w:szCs w:val="26"/>
        </w:rPr>
        <w:t>9</w:t>
      </w:r>
      <w:r w:rsidR="00BB004F" w:rsidRPr="0096568C">
        <w:rPr>
          <w:sz w:val="26"/>
          <w:szCs w:val="26"/>
        </w:rPr>
        <w:t>/</w:t>
      </w:r>
      <w:r w:rsidR="00F229D8" w:rsidRPr="0096568C">
        <w:rPr>
          <w:sz w:val="26"/>
          <w:szCs w:val="26"/>
        </w:rPr>
        <w:t>201</w:t>
      </w:r>
      <w:r w:rsidR="00CC5472" w:rsidRPr="0096568C">
        <w:rPr>
          <w:sz w:val="26"/>
          <w:szCs w:val="26"/>
        </w:rPr>
        <w:t>8</w:t>
      </w:r>
      <w:r w:rsidR="00BB004F" w:rsidRPr="0096568C">
        <w:rPr>
          <w:sz w:val="26"/>
          <w:szCs w:val="26"/>
        </w:rPr>
        <w:t xml:space="preserve"> </w:t>
      </w:r>
      <w:r w:rsidR="00C13A89" w:rsidRPr="0096568C">
        <w:rPr>
          <w:sz w:val="26"/>
          <w:szCs w:val="26"/>
        </w:rPr>
        <w:t>a</w:t>
      </w:r>
      <w:r w:rsidR="00BB004F" w:rsidRPr="0096568C">
        <w:rPr>
          <w:sz w:val="26"/>
          <w:szCs w:val="26"/>
        </w:rPr>
        <w:t xml:space="preserve"> </w:t>
      </w:r>
      <w:r w:rsidR="002555FE" w:rsidRPr="0096568C">
        <w:rPr>
          <w:sz w:val="26"/>
          <w:szCs w:val="26"/>
        </w:rPr>
        <w:t>20</w:t>
      </w:r>
      <w:r w:rsidR="00BB004F" w:rsidRPr="0096568C">
        <w:rPr>
          <w:sz w:val="26"/>
          <w:szCs w:val="26"/>
        </w:rPr>
        <w:t>/</w:t>
      </w:r>
      <w:r w:rsidRPr="0096568C">
        <w:rPr>
          <w:sz w:val="26"/>
          <w:szCs w:val="26"/>
        </w:rPr>
        <w:t>10</w:t>
      </w:r>
      <w:r w:rsidR="00BB004F" w:rsidRPr="0096568C">
        <w:rPr>
          <w:sz w:val="26"/>
          <w:szCs w:val="26"/>
        </w:rPr>
        <w:t>/</w:t>
      </w:r>
      <w:r w:rsidR="00F229D8" w:rsidRPr="0096568C">
        <w:rPr>
          <w:sz w:val="26"/>
          <w:szCs w:val="26"/>
        </w:rPr>
        <w:t>201</w:t>
      </w:r>
      <w:r w:rsidR="00CC5472" w:rsidRPr="0096568C">
        <w:rPr>
          <w:sz w:val="26"/>
          <w:szCs w:val="26"/>
        </w:rPr>
        <w:t>8</w:t>
      </w:r>
    </w:p>
    <w:p w:rsidR="001F74A0" w:rsidRDefault="00BD5993" w:rsidP="00CF534B">
      <w:pPr>
        <w:ind w:left="4111"/>
        <w:jc w:val="center"/>
        <w:rPr>
          <w:sz w:val="26"/>
          <w:szCs w:val="26"/>
        </w:rPr>
      </w:pPr>
      <w:r>
        <w:rPr>
          <w:sz w:val="26"/>
          <w:szCs w:val="26"/>
        </w:rPr>
        <w:t>NOME</w:t>
      </w:r>
      <w:r w:rsidR="00C13A89">
        <w:rPr>
          <w:sz w:val="26"/>
          <w:szCs w:val="26"/>
        </w:rPr>
        <w:t>:</w:t>
      </w:r>
      <w:r w:rsidR="00A139EE">
        <w:rPr>
          <w:sz w:val="26"/>
          <w:szCs w:val="26"/>
        </w:rPr>
        <w:t xml:space="preserve"> PETROBRAS – Petróleo Brasileiro S.A.</w:t>
      </w:r>
    </w:p>
    <w:p w:rsidR="00100689" w:rsidRDefault="00100689" w:rsidP="00CF534B">
      <w:pPr>
        <w:ind w:left="4111"/>
        <w:jc w:val="center"/>
        <w:rPr>
          <w:sz w:val="26"/>
          <w:szCs w:val="26"/>
        </w:rPr>
      </w:pPr>
    </w:p>
    <w:p w:rsidR="00100689" w:rsidRDefault="00100689" w:rsidP="00CF534B">
      <w:pPr>
        <w:ind w:left="4111"/>
        <w:jc w:val="center"/>
        <w:rPr>
          <w:sz w:val="26"/>
          <w:szCs w:val="26"/>
        </w:rPr>
      </w:pPr>
    </w:p>
    <w:tbl>
      <w:tblPr>
        <w:tblW w:w="14317" w:type="dxa"/>
        <w:tblInd w:w="-122" w:type="dxa"/>
        <w:tblCellMar>
          <w:left w:w="0" w:type="dxa"/>
          <w:right w:w="0" w:type="dxa"/>
        </w:tblCellMar>
        <w:tblLook w:val="0000" w:firstRow="0" w:lastRow="0" w:firstColumn="0" w:lastColumn="0" w:noHBand="0" w:noVBand="0"/>
      </w:tblPr>
      <w:tblGrid>
        <w:gridCol w:w="1135"/>
        <w:gridCol w:w="2551"/>
        <w:gridCol w:w="3472"/>
        <w:gridCol w:w="7159"/>
      </w:tblGrid>
      <w:tr w:rsidR="00BD5993" w:rsidTr="00CF534B">
        <w:trPr>
          <w:trHeight w:val="375"/>
        </w:trPr>
        <w:tc>
          <w:tcPr>
            <w:tcW w:w="7158" w:type="dxa"/>
            <w:gridSpan w:val="3"/>
            <w:tcBorders>
              <w:top w:val="single" w:sz="4" w:space="0" w:color="auto"/>
              <w:left w:val="single" w:sz="4" w:space="0" w:color="auto"/>
              <w:bottom w:val="single" w:sz="4" w:space="0" w:color="auto"/>
            </w:tcBorders>
            <w:shd w:val="clear" w:color="auto" w:fill="FFFFFF"/>
            <w:tcMar>
              <w:top w:w="20" w:type="dxa"/>
              <w:left w:w="20" w:type="dxa"/>
              <w:bottom w:w="0" w:type="dxa"/>
              <w:right w:w="20" w:type="dxa"/>
            </w:tcMar>
            <w:vAlign w:val="center"/>
          </w:tcPr>
          <w:p w:rsidR="00BD5993" w:rsidRPr="00BD5993" w:rsidRDefault="00BD5993" w:rsidP="00BD5993">
            <w:pPr>
              <w:pStyle w:val="Legenda"/>
              <w:jc w:val="both"/>
              <w:rPr>
                <w:rFonts w:cs="Arial"/>
                <w:color w:val="000000"/>
                <w:szCs w:val="24"/>
              </w:rPr>
            </w:pPr>
            <w:r>
              <w:rPr>
                <w:rFonts w:cs="Arial"/>
                <w:color w:val="000000"/>
                <w:szCs w:val="24"/>
              </w:rPr>
              <w:t xml:space="preserve">  </w:t>
            </w:r>
            <w:r w:rsidRPr="00BD5993">
              <w:rPr>
                <w:rFonts w:cs="Arial"/>
                <w:color w:val="000000"/>
                <w:szCs w:val="24"/>
              </w:rPr>
              <w:t>(</w:t>
            </w:r>
            <w:r w:rsidR="00A139EE">
              <w:rPr>
                <w:rFonts w:cs="Arial"/>
                <w:color w:val="000000"/>
                <w:szCs w:val="24"/>
              </w:rPr>
              <w:t>X</w:t>
            </w:r>
            <w:r w:rsidRPr="00BD5993">
              <w:rPr>
                <w:rFonts w:cs="Arial"/>
                <w:color w:val="000000"/>
                <w:szCs w:val="24"/>
              </w:rPr>
              <w:t xml:space="preserve">) agente econômico </w:t>
            </w:r>
          </w:p>
          <w:p w:rsidR="00BD5993" w:rsidRPr="00BD5993" w:rsidRDefault="00BD5993" w:rsidP="00CF534B">
            <w:pPr>
              <w:rPr>
                <w:rFonts w:cs="Calibri"/>
                <w:color w:val="000000"/>
                <w:szCs w:val="24"/>
              </w:rPr>
            </w:pPr>
            <w:r>
              <w:rPr>
                <w:rFonts w:ascii="Arial" w:hAnsi="Arial" w:cs="Arial"/>
                <w:color w:val="000000"/>
                <w:sz w:val="24"/>
                <w:szCs w:val="24"/>
              </w:rPr>
              <w:t xml:space="preserve">  </w:t>
            </w:r>
            <w:proofErr w:type="gramStart"/>
            <w:r w:rsidRPr="00BD5993">
              <w:rPr>
                <w:rFonts w:ascii="Arial" w:hAnsi="Arial" w:cs="Arial"/>
                <w:color w:val="000000"/>
                <w:sz w:val="24"/>
                <w:szCs w:val="24"/>
              </w:rPr>
              <w:t xml:space="preserve">(  </w:t>
            </w:r>
            <w:proofErr w:type="gramEnd"/>
            <w:r w:rsidRPr="00BD5993">
              <w:rPr>
                <w:rFonts w:ascii="Arial" w:hAnsi="Arial" w:cs="Arial"/>
                <w:color w:val="000000"/>
                <w:sz w:val="24"/>
                <w:szCs w:val="24"/>
              </w:rPr>
              <w:t>) consumidor ou usuário</w:t>
            </w:r>
          </w:p>
        </w:tc>
        <w:tc>
          <w:tcPr>
            <w:tcW w:w="7159" w:type="dxa"/>
            <w:tcBorders>
              <w:top w:val="single" w:sz="4" w:space="0" w:color="auto"/>
              <w:bottom w:val="single" w:sz="4" w:space="0" w:color="auto"/>
              <w:right w:val="single" w:sz="4" w:space="0" w:color="auto"/>
            </w:tcBorders>
            <w:shd w:val="clear" w:color="auto" w:fill="FFFFFF"/>
            <w:vAlign w:val="center"/>
          </w:tcPr>
          <w:p w:rsidR="00BD5993" w:rsidRPr="00BD5993" w:rsidRDefault="00BD5993" w:rsidP="00BD5993">
            <w:pPr>
              <w:pStyle w:val="Legenda"/>
              <w:ind w:left="23"/>
              <w:jc w:val="both"/>
              <w:rPr>
                <w:rFonts w:cs="Arial"/>
                <w:color w:val="000000"/>
                <w:szCs w:val="24"/>
              </w:rPr>
            </w:pPr>
            <w:r>
              <w:rPr>
                <w:rFonts w:cs="Arial"/>
                <w:color w:val="000000"/>
                <w:szCs w:val="24"/>
              </w:rPr>
              <w:t xml:space="preserve">  </w:t>
            </w:r>
            <w:proofErr w:type="gramStart"/>
            <w:r w:rsidRPr="00BD5993">
              <w:rPr>
                <w:rFonts w:cs="Arial"/>
                <w:color w:val="000000"/>
                <w:szCs w:val="24"/>
              </w:rPr>
              <w:t xml:space="preserve">(  </w:t>
            </w:r>
            <w:proofErr w:type="gramEnd"/>
            <w:r w:rsidRPr="00BD5993">
              <w:rPr>
                <w:rFonts w:cs="Arial"/>
                <w:color w:val="000000"/>
                <w:szCs w:val="24"/>
              </w:rPr>
              <w:t>) representante órgão de classe ou associação</w:t>
            </w:r>
          </w:p>
          <w:p w:rsidR="00BD5993" w:rsidRPr="00BD5993" w:rsidRDefault="00BD5993" w:rsidP="00BD5993">
            <w:pPr>
              <w:pStyle w:val="Legenda"/>
              <w:ind w:left="23"/>
              <w:jc w:val="both"/>
              <w:rPr>
                <w:rFonts w:cs="Arial"/>
                <w:color w:val="000000"/>
                <w:szCs w:val="24"/>
              </w:rPr>
            </w:pPr>
            <w:r>
              <w:rPr>
                <w:rFonts w:cs="Arial"/>
                <w:color w:val="000000"/>
                <w:szCs w:val="24"/>
              </w:rPr>
              <w:t xml:space="preserve">  </w:t>
            </w:r>
            <w:proofErr w:type="gramStart"/>
            <w:r w:rsidRPr="00BD5993">
              <w:rPr>
                <w:rFonts w:cs="Arial"/>
                <w:color w:val="000000"/>
                <w:szCs w:val="24"/>
              </w:rPr>
              <w:t xml:space="preserve">(  </w:t>
            </w:r>
            <w:proofErr w:type="gramEnd"/>
            <w:r w:rsidRPr="00BD5993">
              <w:rPr>
                <w:rFonts w:cs="Arial"/>
                <w:color w:val="000000"/>
                <w:szCs w:val="24"/>
              </w:rPr>
              <w:t>) representante de instituição governamental</w:t>
            </w:r>
          </w:p>
          <w:p w:rsidR="00BD5993" w:rsidRPr="00BD5993" w:rsidRDefault="00BD5993" w:rsidP="00100689">
            <w:pPr>
              <w:rPr>
                <w:rFonts w:cs="Calibri"/>
                <w:color w:val="000000"/>
                <w:szCs w:val="24"/>
              </w:rPr>
            </w:pPr>
            <w:r>
              <w:rPr>
                <w:rFonts w:ascii="Arial" w:hAnsi="Arial" w:cs="Arial"/>
                <w:color w:val="000000"/>
                <w:sz w:val="24"/>
                <w:szCs w:val="24"/>
              </w:rPr>
              <w:t xml:space="preserve">  </w:t>
            </w:r>
            <w:proofErr w:type="gramStart"/>
            <w:r w:rsidRPr="00BD5993">
              <w:rPr>
                <w:rFonts w:ascii="Arial" w:hAnsi="Arial" w:cs="Arial"/>
                <w:color w:val="000000"/>
                <w:sz w:val="24"/>
                <w:szCs w:val="24"/>
              </w:rPr>
              <w:t xml:space="preserve">(  </w:t>
            </w:r>
            <w:proofErr w:type="gramEnd"/>
            <w:r w:rsidRPr="00BD5993">
              <w:rPr>
                <w:rFonts w:ascii="Arial" w:hAnsi="Arial" w:cs="Arial"/>
                <w:color w:val="000000"/>
                <w:sz w:val="24"/>
                <w:szCs w:val="24"/>
              </w:rPr>
              <w:t>) representante de órgãos de defesa do consumido</w:t>
            </w:r>
            <w:r>
              <w:rPr>
                <w:rFonts w:ascii="Arial" w:hAnsi="Arial" w:cs="Arial"/>
                <w:color w:val="000000"/>
                <w:sz w:val="24"/>
                <w:szCs w:val="24"/>
              </w:rPr>
              <w:t>r</w:t>
            </w:r>
          </w:p>
        </w:tc>
      </w:tr>
      <w:tr w:rsidR="004602FD" w:rsidTr="00335A11">
        <w:trPr>
          <w:trHeight w:val="716"/>
        </w:trPr>
        <w:tc>
          <w:tcPr>
            <w:tcW w:w="14317" w:type="dxa"/>
            <w:gridSpan w:val="4"/>
            <w:tcBorders>
              <w:top w:val="single" w:sz="4" w:space="0" w:color="auto"/>
              <w:left w:val="single" w:sz="4" w:space="0" w:color="auto"/>
              <w:bottom w:val="single" w:sz="4" w:space="0" w:color="auto"/>
              <w:right w:val="single" w:sz="4" w:space="0" w:color="auto"/>
            </w:tcBorders>
            <w:shd w:val="clear" w:color="auto" w:fill="70B56B"/>
            <w:tcMar>
              <w:top w:w="20" w:type="dxa"/>
              <w:left w:w="20" w:type="dxa"/>
              <w:bottom w:w="0" w:type="dxa"/>
              <w:right w:w="20" w:type="dxa"/>
            </w:tcMar>
            <w:vAlign w:val="center"/>
          </w:tcPr>
          <w:p w:rsidR="00BB004F" w:rsidRPr="00BD5993" w:rsidRDefault="00153BBA" w:rsidP="00A267DE">
            <w:pPr>
              <w:autoSpaceDE w:val="0"/>
              <w:autoSpaceDN w:val="0"/>
              <w:adjustRightInd w:val="0"/>
              <w:spacing w:line="300" w:lineRule="exact"/>
              <w:jc w:val="both"/>
              <w:rPr>
                <w:rFonts w:ascii="Arial" w:hAnsi="Arial" w:cs="Arial"/>
                <w:bCs/>
                <w:sz w:val="28"/>
                <w:szCs w:val="28"/>
              </w:rPr>
            </w:pPr>
            <w:r>
              <w:rPr>
                <w:rFonts w:ascii="Arial" w:hAnsi="Arial" w:cs="Arial"/>
                <w:bCs/>
                <w:sz w:val="28"/>
                <w:szCs w:val="28"/>
              </w:rPr>
              <w:t xml:space="preserve">Tomada Pública de Contribuições sobre a </w:t>
            </w:r>
            <w:r w:rsidR="00A267DE">
              <w:rPr>
                <w:rFonts w:ascii="Arial" w:hAnsi="Arial" w:cs="Arial"/>
                <w:bCs/>
                <w:sz w:val="28"/>
                <w:szCs w:val="28"/>
              </w:rPr>
              <w:t>verticalização da cadeia de distribuição de combustíveis</w:t>
            </w:r>
            <w:r w:rsidR="00CC5472" w:rsidRPr="00CC5472">
              <w:rPr>
                <w:rFonts w:ascii="Arial" w:hAnsi="Arial" w:cs="Arial"/>
                <w:bCs/>
                <w:sz w:val="28"/>
                <w:szCs w:val="28"/>
              </w:rPr>
              <w:t>.</w:t>
            </w:r>
          </w:p>
        </w:tc>
      </w:tr>
      <w:tr w:rsidR="00C13A89" w:rsidTr="00A90EC7">
        <w:trPr>
          <w:trHeight w:val="330"/>
        </w:trPr>
        <w:tc>
          <w:tcPr>
            <w:tcW w:w="1135" w:type="dxa"/>
            <w:tcBorders>
              <w:top w:val="single" w:sz="4" w:space="0" w:color="auto"/>
              <w:left w:val="single" w:sz="4" w:space="0" w:color="auto"/>
              <w:bottom w:val="single" w:sz="4" w:space="0" w:color="auto"/>
              <w:right w:val="single" w:sz="4" w:space="0" w:color="auto"/>
            </w:tcBorders>
            <w:shd w:val="clear" w:color="auto" w:fill="C2D69B"/>
            <w:tcMar>
              <w:top w:w="20" w:type="dxa"/>
              <w:left w:w="20" w:type="dxa"/>
              <w:bottom w:w="0" w:type="dxa"/>
              <w:right w:w="20" w:type="dxa"/>
            </w:tcMar>
            <w:vAlign w:val="center"/>
          </w:tcPr>
          <w:p w:rsidR="00C13A89" w:rsidRPr="00BB004F" w:rsidRDefault="00C96874" w:rsidP="00ED7714">
            <w:pPr>
              <w:jc w:val="center"/>
              <w:rPr>
                <w:rFonts w:ascii="Arial" w:eastAsia="Arial Unicode MS" w:hAnsi="Arial" w:cs="Arial"/>
                <w:bCs/>
                <w:sz w:val="24"/>
                <w:szCs w:val="24"/>
              </w:rPr>
            </w:pPr>
            <w:r>
              <w:rPr>
                <w:rFonts w:ascii="Arial" w:hAnsi="Arial" w:cs="Arial"/>
                <w:bCs/>
              </w:rPr>
              <w:t>ASSUNTO</w:t>
            </w:r>
          </w:p>
        </w:tc>
        <w:tc>
          <w:tcPr>
            <w:tcW w:w="2551" w:type="dxa"/>
            <w:tcBorders>
              <w:top w:val="single" w:sz="4" w:space="0" w:color="auto"/>
              <w:left w:val="nil"/>
              <w:bottom w:val="single" w:sz="4" w:space="0" w:color="auto"/>
              <w:right w:val="single" w:sz="4" w:space="0" w:color="auto"/>
            </w:tcBorders>
            <w:shd w:val="clear" w:color="auto" w:fill="C2D69B"/>
            <w:tcMar>
              <w:top w:w="20" w:type="dxa"/>
              <w:left w:w="20" w:type="dxa"/>
              <w:bottom w:w="0" w:type="dxa"/>
              <w:right w:w="20" w:type="dxa"/>
            </w:tcMar>
            <w:vAlign w:val="center"/>
          </w:tcPr>
          <w:p w:rsidR="00C13A89" w:rsidRPr="00BB004F" w:rsidRDefault="00C13A89" w:rsidP="00C96874">
            <w:pPr>
              <w:jc w:val="center"/>
              <w:rPr>
                <w:rFonts w:ascii="Arial" w:eastAsia="Arial Unicode MS" w:hAnsi="Arial" w:cs="Arial"/>
                <w:bCs/>
                <w:sz w:val="24"/>
                <w:szCs w:val="24"/>
              </w:rPr>
            </w:pPr>
            <w:r w:rsidRPr="00BB004F">
              <w:rPr>
                <w:rFonts w:ascii="Arial" w:hAnsi="Arial" w:cs="Arial"/>
                <w:bCs/>
              </w:rPr>
              <w:t>PROPOSTA</w:t>
            </w:r>
          </w:p>
        </w:tc>
        <w:tc>
          <w:tcPr>
            <w:tcW w:w="10631" w:type="dxa"/>
            <w:gridSpan w:val="2"/>
            <w:tcBorders>
              <w:top w:val="single" w:sz="4" w:space="0" w:color="auto"/>
              <w:left w:val="nil"/>
              <w:bottom w:val="single" w:sz="4" w:space="0" w:color="auto"/>
              <w:right w:val="single" w:sz="4" w:space="0" w:color="auto"/>
            </w:tcBorders>
            <w:shd w:val="clear" w:color="auto" w:fill="C2D69B"/>
            <w:tcMar>
              <w:top w:w="20" w:type="dxa"/>
              <w:left w:w="20" w:type="dxa"/>
              <w:bottom w:w="0" w:type="dxa"/>
              <w:right w:w="20" w:type="dxa"/>
            </w:tcMar>
            <w:vAlign w:val="center"/>
          </w:tcPr>
          <w:p w:rsidR="00C13A89" w:rsidRPr="00BB004F" w:rsidRDefault="00C13A89" w:rsidP="00ED7714">
            <w:pPr>
              <w:jc w:val="center"/>
              <w:rPr>
                <w:rFonts w:ascii="Arial" w:eastAsia="Arial Unicode MS" w:hAnsi="Arial" w:cs="Arial"/>
                <w:bCs/>
                <w:sz w:val="24"/>
                <w:szCs w:val="24"/>
              </w:rPr>
            </w:pPr>
            <w:r w:rsidRPr="00BB004F">
              <w:rPr>
                <w:rFonts w:ascii="Arial" w:hAnsi="Arial" w:cs="Arial"/>
                <w:bCs/>
              </w:rPr>
              <w:t>JUSTIFICATIVA</w:t>
            </w:r>
          </w:p>
        </w:tc>
      </w:tr>
      <w:tr w:rsidR="00C13A89" w:rsidTr="00A90EC7">
        <w:trPr>
          <w:trHeight w:val="3244"/>
        </w:trPr>
        <w:tc>
          <w:tcPr>
            <w:tcW w:w="1135"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tcPr>
          <w:p w:rsidR="00C13A89" w:rsidRPr="00A139EE" w:rsidRDefault="00A139EE" w:rsidP="00A139EE">
            <w:pPr>
              <w:spacing w:before="120" w:after="120"/>
              <w:jc w:val="both"/>
              <w:rPr>
                <w:rFonts w:ascii="Arial" w:eastAsia="Arial Unicode MS" w:hAnsi="Arial" w:cs="Arial"/>
                <w:bCs/>
              </w:rPr>
            </w:pPr>
            <w:r>
              <w:rPr>
                <w:rFonts w:ascii="Arial" w:hAnsi="Arial" w:cs="Arial"/>
                <w:bCs/>
                <w:color w:val="000000"/>
              </w:rPr>
              <w:t>Geral</w:t>
            </w:r>
          </w:p>
        </w:tc>
        <w:tc>
          <w:tcPr>
            <w:tcW w:w="2551" w:type="dxa"/>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tcPr>
          <w:p w:rsidR="00C13A89" w:rsidRPr="00A139EE" w:rsidRDefault="00A139EE" w:rsidP="00A139EE">
            <w:pPr>
              <w:spacing w:before="120" w:after="120"/>
              <w:jc w:val="both"/>
              <w:rPr>
                <w:rFonts w:ascii="Arial" w:eastAsia="Arial Unicode MS" w:hAnsi="Arial" w:cs="Arial"/>
              </w:rPr>
            </w:pPr>
            <w:r>
              <w:rPr>
                <w:rFonts w:ascii="Arial" w:hAnsi="Arial" w:cs="Arial"/>
              </w:rPr>
              <w:t>Introdução</w:t>
            </w:r>
          </w:p>
        </w:tc>
        <w:tc>
          <w:tcPr>
            <w:tcW w:w="10631"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tcPr>
          <w:p w:rsidR="008A4CF9" w:rsidRDefault="00A139EE" w:rsidP="00A139EE">
            <w:pPr>
              <w:spacing w:before="120" w:after="120"/>
              <w:jc w:val="both"/>
              <w:rPr>
                <w:rFonts w:ascii="Arial" w:hAnsi="Arial" w:cs="Arial"/>
              </w:rPr>
            </w:pPr>
            <w:r w:rsidRPr="00A139EE">
              <w:rPr>
                <w:rFonts w:ascii="Arial" w:hAnsi="Arial" w:cs="Arial"/>
              </w:rPr>
              <w:t xml:space="preserve">A Petrobras avalia como oportuna a iniciativa desta Agência </w:t>
            </w:r>
            <w:r w:rsidR="008A4CF9">
              <w:rPr>
                <w:rFonts w:ascii="Arial" w:hAnsi="Arial" w:cs="Arial"/>
              </w:rPr>
              <w:t>em</w:t>
            </w:r>
            <w:r w:rsidR="008A4CF9" w:rsidRPr="00A139EE">
              <w:rPr>
                <w:rFonts w:ascii="Arial" w:hAnsi="Arial" w:cs="Arial"/>
              </w:rPr>
              <w:t xml:space="preserve"> realiza</w:t>
            </w:r>
            <w:r w:rsidR="008A4CF9">
              <w:rPr>
                <w:rFonts w:ascii="Arial" w:hAnsi="Arial" w:cs="Arial"/>
              </w:rPr>
              <w:t>r</w:t>
            </w:r>
            <w:r w:rsidR="008A4CF9" w:rsidRPr="00A139EE">
              <w:rPr>
                <w:rFonts w:ascii="Arial" w:hAnsi="Arial" w:cs="Arial"/>
              </w:rPr>
              <w:t xml:space="preserve"> </w:t>
            </w:r>
            <w:r w:rsidRPr="00A139EE">
              <w:rPr>
                <w:rFonts w:ascii="Arial" w:hAnsi="Arial" w:cs="Arial"/>
              </w:rPr>
              <w:t>a Tomada Pública de Contribuições nº 03/2018, cujo objetivo é coletar dados, informações e evidências que contribuam para a análise da verticalização da cadeia de distribuição de combustíveis no Brasil</w:t>
            </w:r>
            <w:r w:rsidR="008A4CF9">
              <w:rPr>
                <w:rFonts w:ascii="Arial" w:hAnsi="Arial" w:cs="Arial"/>
              </w:rPr>
              <w:t xml:space="preserve">. </w:t>
            </w:r>
          </w:p>
          <w:p w:rsidR="00A139EE" w:rsidRPr="00A139EE" w:rsidRDefault="008A4CF9" w:rsidP="00A139EE">
            <w:pPr>
              <w:spacing w:before="120" w:after="120"/>
              <w:jc w:val="both"/>
              <w:rPr>
                <w:rFonts w:ascii="Arial" w:hAnsi="Arial" w:cs="Arial"/>
              </w:rPr>
            </w:pPr>
            <w:r>
              <w:rPr>
                <w:rFonts w:ascii="Arial" w:hAnsi="Arial" w:cs="Arial"/>
              </w:rPr>
              <w:t>Nesse sentido, a Petrobras</w:t>
            </w:r>
            <w:r w:rsidR="00A139EE" w:rsidRPr="00A139EE">
              <w:rPr>
                <w:rFonts w:ascii="Arial" w:hAnsi="Arial" w:cs="Arial"/>
              </w:rPr>
              <w:t xml:space="preserve"> apresenta suas considerações com o propósito de apoiar a construção de mecanismos legais e regulatórios que promovam resultados efetivos e aderentes aos objetivos da política energética nacional, em especial no que diz respeito à promoção da livre concorrência no mercado de combustíveis e à garantia à preservação dos interesses da sociedade brasileira.</w:t>
            </w:r>
          </w:p>
          <w:p w:rsidR="00C13A89" w:rsidRPr="00A139EE" w:rsidRDefault="00A139EE" w:rsidP="00A139EE">
            <w:pPr>
              <w:spacing w:before="120" w:after="120"/>
              <w:jc w:val="both"/>
              <w:rPr>
                <w:rFonts w:ascii="Arial" w:eastAsia="Arial Unicode MS" w:hAnsi="Arial" w:cs="Arial"/>
              </w:rPr>
            </w:pPr>
            <w:r w:rsidRPr="00A139EE">
              <w:rPr>
                <w:rFonts w:ascii="Arial" w:hAnsi="Arial" w:cs="Arial"/>
              </w:rPr>
              <w:t>Cumpre esclarecer que as ponderações ora apresentadas se restringem às hipóteses de verticalização da cadeia de distribuição de combustíveis levantadas nesta Tomada Pública de Contribuições (TPC), ou seja, ao escopo definido para esta</w:t>
            </w:r>
            <w:r w:rsidR="008A4CF9">
              <w:rPr>
                <w:rFonts w:ascii="Arial" w:hAnsi="Arial" w:cs="Arial"/>
              </w:rPr>
              <w:t xml:space="preserve"> consulta/audiência</w:t>
            </w:r>
            <w:r w:rsidRPr="00A139EE">
              <w:rPr>
                <w:rFonts w:ascii="Arial" w:hAnsi="Arial" w:cs="Arial"/>
              </w:rPr>
              <w:t xml:space="preserve">. Desta forma, considerações específicas quanto aos demais aspectos e elos da cadeia de suprimento do setor de </w:t>
            </w:r>
            <w:proofErr w:type="spellStart"/>
            <w:r w:rsidRPr="00C61011">
              <w:rPr>
                <w:rFonts w:ascii="Arial" w:hAnsi="Arial" w:cs="Arial"/>
                <w:i/>
              </w:rPr>
              <w:t>downstream</w:t>
            </w:r>
            <w:proofErr w:type="spellEnd"/>
            <w:r w:rsidRPr="00A139EE">
              <w:rPr>
                <w:rFonts w:ascii="Arial" w:hAnsi="Arial" w:cs="Arial"/>
              </w:rPr>
              <w:t>, incluindo produção e logística primária, não compõem este documento, o que não representa omissão ou ausência de propost</w:t>
            </w:r>
            <w:r w:rsidR="00C61011">
              <w:rPr>
                <w:rFonts w:ascii="Arial" w:hAnsi="Arial" w:cs="Arial"/>
              </w:rPr>
              <w:t>as quanto aos temas.</w:t>
            </w:r>
          </w:p>
        </w:tc>
      </w:tr>
      <w:tr w:rsidR="00A139EE" w:rsidTr="00A90EC7">
        <w:trPr>
          <w:trHeight w:val="568"/>
        </w:trPr>
        <w:tc>
          <w:tcPr>
            <w:tcW w:w="1135"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tcPr>
          <w:p w:rsidR="00A139EE" w:rsidRDefault="00A139EE" w:rsidP="00A139EE">
            <w:pPr>
              <w:spacing w:before="120" w:after="120"/>
              <w:jc w:val="both"/>
              <w:rPr>
                <w:rFonts w:ascii="Arial" w:hAnsi="Arial" w:cs="Arial"/>
                <w:bCs/>
                <w:color w:val="000000"/>
              </w:rPr>
            </w:pPr>
            <w:r>
              <w:rPr>
                <w:rFonts w:ascii="Arial" w:hAnsi="Arial" w:cs="Arial"/>
                <w:bCs/>
                <w:color w:val="000000"/>
              </w:rPr>
              <w:t>Geral</w:t>
            </w:r>
          </w:p>
        </w:tc>
        <w:tc>
          <w:tcPr>
            <w:tcW w:w="2551" w:type="dxa"/>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tcPr>
          <w:p w:rsidR="00A139EE" w:rsidRDefault="00A139EE" w:rsidP="003B66E5">
            <w:pPr>
              <w:spacing w:before="120" w:after="120"/>
              <w:rPr>
                <w:rFonts w:ascii="Arial" w:hAnsi="Arial" w:cs="Arial"/>
              </w:rPr>
            </w:pPr>
            <w:r>
              <w:rPr>
                <w:rFonts w:ascii="Arial" w:hAnsi="Arial" w:cs="Arial"/>
              </w:rPr>
              <w:t>Iniciativas e ações do poder público</w:t>
            </w:r>
          </w:p>
        </w:tc>
        <w:tc>
          <w:tcPr>
            <w:tcW w:w="10631"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tcPr>
          <w:p w:rsidR="00A139EE" w:rsidRPr="00A139EE" w:rsidRDefault="00A139EE" w:rsidP="00A139EE">
            <w:pPr>
              <w:spacing w:before="120" w:after="120"/>
              <w:jc w:val="both"/>
              <w:rPr>
                <w:rFonts w:ascii="Arial" w:hAnsi="Arial" w:cs="Arial"/>
              </w:rPr>
            </w:pPr>
            <w:r w:rsidRPr="00A139EE">
              <w:rPr>
                <w:rFonts w:ascii="Arial" w:hAnsi="Arial" w:cs="Arial"/>
              </w:rPr>
              <w:t>Desde 2016</w:t>
            </w:r>
            <w:r w:rsidR="008A4CF9">
              <w:rPr>
                <w:rFonts w:ascii="Arial" w:hAnsi="Arial" w:cs="Arial"/>
              </w:rPr>
              <w:t>,</w:t>
            </w:r>
            <w:r w:rsidRPr="00A139EE">
              <w:rPr>
                <w:rFonts w:ascii="Arial" w:hAnsi="Arial" w:cs="Arial"/>
              </w:rPr>
              <w:t xml:space="preserve"> o setor de combustíveis no Brasil vem demonstrando capacidade de adaptação a partir da intensificação da concorrência entre diversos agentes, segundo </w:t>
            </w:r>
            <w:r w:rsidR="008A4CF9">
              <w:rPr>
                <w:rFonts w:ascii="Arial" w:hAnsi="Arial" w:cs="Arial"/>
              </w:rPr>
              <w:t xml:space="preserve">uma </w:t>
            </w:r>
            <w:r w:rsidRPr="00A139EE">
              <w:rPr>
                <w:rFonts w:ascii="Arial" w:hAnsi="Arial" w:cs="Arial"/>
              </w:rPr>
              <w:t>lógica de mercado. A consolidação desse cenário levará a uma maior diversificação da oferta</w:t>
            </w:r>
            <w:r w:rsidR="008A4CF9">
              <w:rPr>
                <w:rFonts w:ascii="Arial" w:hAnsi="Arial" w:cs="Arial"/>
              </w:rPr>
              <w:t xml:space="preserve"> de combustíveis</w:t>
            </w:r>
            <w:r w:rsidRPr="00A139EE">
              <w:rPr>
                <w:rFonts w:ascii="Arial" w:hAnsi="Arial" w:cs="Arial"/>
              </w:rPr>
              <w:t>, ao aumento da eficiência e à redução de custos em toda a cadeia de suprimentos, com consequentes benefícios ao consumidor. Desta forma, cabe ao poder público promover iniciativas e ações coordenadas e alinhadas ao movimento já verificado no setor, criando um ambiente de prosperidade que sustente a atratividade para a realização de investimentos em infraestrutura logística e de refino, particularmente, por meio da mitigação dos riscos legais e regulatórios.</w:t>
            </w:r>
          </w:p>
          <w:p w:rsidR="00A139EE" w:rsidRPr="00A139EE" w:rsidRDefault="00A139EE" w:rsidP="008A4CF9">
            <w:pPr>
              <w:spacing w:before="120" w:after="120"/>
              <w:jc w:val="both"/>
              <w:rPr>
                <w:rFonts w:ascii="Arial" w:hAnsi="Arial" w:cs="Arial"/>
              </w:rPr>
            </w:pPr>
            <w:r w:rsidRPr="00A139EE">
              <w:rPr>
                <w:rFonts w:ascii="Arial" w:hAnsi="Arial" w:cs="Arial"/>
                <w:noProof/>
              </w:rPr>
              <w:t xml:space="preserve">No bojo das mudanças setorias anteriormente citadas, </w:t>
            </w:r>
            <w:r w:rsidRPr="00A139EE">
              <w:rPr>
                <w:rFonts w:ascii="Arial" w:hAnsi="Arial" w:cs="Arial"/>
              </w:rPr>
              <w:t xml:space="preserve">a Petrobras sugere que as hipóteses de verticalização na cadeia de distribuição de combustíveis constantes nesta Tomada Pública de Contribuições (TPC) venham a compor </w:t>
            </w:r>
            <w:r w:rsidRPr="00A139EE">
              <w:rPr>
                <w:rFonts w:ascii="Arial" w:hAnsi="Arial" w:cs="Arial"/>
              </w:rPr>
              <w:lastRenderedPageBreak/>
              <w:t xml:space="preserve">uma ampla discussão acerca do modelo regulatório adotado para a indústria de </w:t>
            </w:r>
            <w:proofErr w:type="spellStart"/>
            <w:r w:rsidRPr="00C61011">
              <w:rPr>
                <w:rFonts w:ascii="Arial" w:hAnsi="Arial" w:cs="Arial"/>
                <w:i/>
              </w:rPr>
              <w:t>downstream</w:t>
            </w:r>
            <w:proofErr w:type="spellEnd"/>
            <w:r w:rsidRPr="00A139EE">
              <w:rPr>
                <w:rFonts w:ascii="Arial" w:hAnsi="Arial" w:cs="Arial"/>
              </w:rPr>
              <w:t xml:space="preserve"> no Brasil, considerando o horizonte de médio e longo prazo. Medidas isoladas e de curto prazo podem </w:t>
            </w:r>
            <w:r w:rsidR="008A4CF9" w:rsidRPr="00A139EE">
              <w:rPr>
                <w:rFonts w:ascii="Arial" w:hAnsi="Arial" w:cs="Arial"/>
              </w:rPr>
              <w:t>desequilibra</w:t>
            </w:r>
            <w:r w:rsidR="008A4CF9">
              <w:rPr>
                <w:rFonts w:ascii="Arial" w:hAnsi="Arial" w:cs="Arial"/>
              </w:rPr>
              <w:t>r</w:t>
            </w:r>
            <w:r w:rsidR="008A4CF9" w:rsidRPr="00A139EE">
              <w:rPr>
                <w:rFonts w:ascii="Arial" w:hAnsi="Arial" w:cs="Arial"/>
              </w:rPr>
              <w:t xml:space="preserve"> </w:t>
            </w:r>
            <w:r w:rsidRPr="00A139EE">
              <w:rPr>
                <w:rFonts w:ascii="Arial" w:hAnsi="Arial" w:cs="Arial"/>
              </w:rPr>
              <w:t>as relações na cadeia de suprimento e, consequentemente, os preços e a oferta dos produtos, comprometendo a segurança do abastecimento energético do país e os interesses da sociedade.</w:t>
            </w:r>
          </w:p>
        </w:tc>
      </w:tr>
      <w:tr w:rsidR="00C13A89" w:rsidTr="00A90EC7">
        <w:trPr>
          <w:trHeight w:val="704"/>
        </w:trPr>
        <w:tc>
          <w:tcPr>
            <w:tcW w:w="1135"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tcPr>
          <w:p w:rsidR="00C13A89" w:rsidRPr="00A139EE" w:rsidRDefault="00C13A89" w:rsidP="00A139EE">
            <w:pPr>
              <w:spacing w:before="120" w:after="120"/>
              <w:rPr>
                <w:rFonts w:ascii="Arial" w:eastAsia="Arial Unicode MS" w:hAnsi="Arial" w:cs="Arial"/>
              </w:rPr>
            </w:pPr>
            <w:r w:rsidRPr="00A139EE">
              <w:rPr>
                <w:rFonts w:ascii="Arial" w:hAnsi="Arial" w:cs="Arial"/>
              </w:rPr>
              <w:lastRenderedPageBreak/>
              <w:t> </w:t>
            </w:r>
            <w:r w:rsidR="00A139EE">
              <w:rPr>
                <w:rFonts w:ascii="Arial" w:hAnsi="Arial" w:cs="Arial"/>
              </w:rPr>
              <w:t>Geral</w:t>
            </w:r>
          </w:p>
          <w:p w:rsidR="00C13A89" w:rsidRPr="00A139EE" w:rsidRDefault="00C13A89" w:rsidP="00A139EE">
            <w:pPr>
              <w:spacing w:before="120" w:after="120"/>
              <w:rPr>
                <w:rFonts w:ascii="Arial" w:eastAsia="Arial Unicode MS" w:hAnsi="Arial" w:cs="Arial"/>
                <w:b/>
                <w:bCs/>
              </w:rPr>
            </w:pPr>
            <w:r w:rsidRPr="00A139EE">
              <w:rPr>
                <w:rFonts w:ascii="Arial" w:hAnsi="Arial" w:cs="Arial"/>
                <w:b/>
                <w:bCs/>
              </w:rPr>
              <w:t> </w:t>
            </w:r>
          </w:p>
        </w:tc>
        <w:tc>
          <w:tcPr>
            <w:tcW w:w="2551" w:type="dxa"/>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tcPr>
          <w:p w:rsidR="00C13A89" w:rsidRPr="00A139EE" w:rsidRDefault="00A139EE" w:rsidP="00A139EE">
            <w:pPr>
              <w:spacing w:before="120" w:after="120"/>
              <w:rPr>
                <w:rFonts w:ascii="Arial" w:eastAsia="Arial Unicode MS" w:hAnsi="Arial" w:cs="Arial"/>
              </w:rPr>
            </w:pPr>
            <w:r>
              <w:rPr>
                <w:rFonts w:ascii="Arial" w:hAnsi="Arial" w:cs="Arial"/>
              </w:rPr>
              <w:t>Vedação</w:t>
            </w:r>
            <w:r w:rsidRPr="00A139EE">
              <w:rPr>
                <w:rFonts w:ascii="Arial" w:hAnsi="Arial" w:cs="Arial"/>
              </w:rPr>
              <w:t xml:space="preserve"> da comercialização direta de produtores e importadores para revendedores de combustíveis</w:t>
            </w:r>
          </w:p>
        </w:tc>
        <w:tc>
          <w:tcPr>
            <w:tcW w:w="10631"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A139EE" w:rsidRPr="00A139EE" w:rsidRDefault="003B66E5" w:rsidP="00A139EE">
            <w:pPr>
              <w:spacing w:before="120" w:after="120"/>
              <w:jc w:val="both"/>
              <w:rPr>
                <w:rFonts w:ascii="Arial" w:hAnsi="Arial" w:cs="Arial"/>
              </w:rPr>
            </w:pPr>
            <w:r>
              <w:rPr>
                <w:rFonts w:ascii="Arial" w:hAnsi="Arial" w:cs="Arial"/>
              </w:rPr>
              <w:t>Conforme exposto nos itens anteriores,</w:t>
            </w:r>
            <w:r w:rsidR="00A139EE" w:rsidRPr="00A139EE">
              <w:rPr>
                <w:rFonts w:ascii="Arial" w:hAnsi="Arial" w:cs="Arial"/>
              </w:rPr>
              <w:t xml:space="preserve"> questionamentos isolados quanto aos atuais mecanismos de vedação da comercialização direta de produtores e importadores para revendedores de combustíveis, bem como de obrigatoriedade de que </w:t>
            </w:r>
            <w:proofErr w:type="spellStart"/>
            <w:r w:rsidR="00A139EE" w:rsidRPr="00A139EE">
              <w:rPr>
                <w:rFonts w:ascii="Arial" w:hAnsi="Arial" w:cs="Arial"/>
              </w:rPr>
              <w:t>TRR</w:t>
            </w:r>
            <w:r w:rsidR="008A4CF9">
              <w:rPr>
                <w:rFonts w:ascii="Arial" w:hAnsi="Arial" w:cs="Arial"/>
              </w:rPr>
              <w:t>s</w:t>
            </w:r>
            <w:proofErr w:type="spellEnd"/>
            <w:r w:rsidR="00A139EE" w:rsidRPr="00A139EE">
              <w:rPr>
                <w:rFonts w:ascii="Arial" w:hAnsi="Arial" w:cs="Arial"/>
              </w:rPr>
              <w:t xml:space="preserve"> compre</w:t>
            </w:r>
            <w:r w:rsidR="008A4CF9">
              <w:rPr>
                <w:rFonts w:ascii="Arial" w:hAnsi="Arial" w:cs="Arial"/>
              </w:rPr>
              <w:t>m</w:t>
            </w:r>
            <w:r w:rsidR="00A139EE" w:rsidRPr="00A139EE">
              <w:rPr>
                <w:rFonts w:ascii="Arial" w:hAnsi="Arial" w:cs="Arial"/>
              </w:rPr>
              <w:t xml:space="preserve"> diretamente de distribuidor</w:t>
            </w:r>
            <w:r w:rsidR="008A4CF9">
              <w:rPr>
                <w:rFonts w:ascii="Arial" w:hAnsi="Arial" w:cs="Arial"/>
              </w:rPr>
              <w:t>es</w:t>
            </w:r>
            <w:r w:rsidR="00A139EE" w:rsidRPr="00A139EE">
              <w:rPr>
                <w:rFonts w:ascii="Arial" w:hAnsi="Arial" w:cs="Arial"/>
              </w:rPr>
              <w:t xml:space="preserve">, introduz insegurança jurídica aos atuais agentes e a potenciais investidores. </w:t>
            </w:r>
          </w:p>
          <w:p w:rsidR="00A139EE" w:rsidRPr="00A139EE" w:rsidRDefault="00A139EE" w:rsidP="00A139EE">
            <w:pPr>
              <w:spacing w:before="120" w:after="120"/>
              <w:jc w:val="both"/>
              <w:rPr>
                <w:rFonts w:ascii="Arial" w:hAnsi="Arial" w:cs="Arial"/>
              </w:rPr>
            </w:pPr>
            <w:r w:rsidRPr="00A139EE">
              <w:rPr>
                <w:rFonts w:ascii="Arial" w:hAnsi="Arial" w:cs="Arial"/>
              </w:rPr>
              <w:t xml:space="preserve">Tomando como exemplo a possibilidade de venda direta de refinarias para revendedores, observa-se que as instalações das refinarias são projetadas para a expedição </w:t>
            </w:r>
            <w:proofErr w:type="spellStart"/>
            <w:r w:rsidRPr="00A139EE">
              <w:rPr>
                <w:rFonts w:ascii="Arial" w:hAnsi="Arial" w:cs="Arial"/>
              </w:rPr>
              <w:t>dutoviária</w:t>
            </w:r>
            <w:proofErr w:type="spellEnd"/>
            <w:r w:rsidRPr="00A139EE">
              <w:rPr>
                <w:rFonts w:ascii="Arial" w:hAnsi="Arial" w:cs="Arial"/>
              </w:rPr>
              <w:t xml:space="preserve"> para terminais e bases de distribuição</w:t>
            </w:r>
            <w:r w:rsidR="00A90EC7">
              <w:rPr>
                <w:rStyle w:val="Refdenotaderodap"/>
                <w:rFonts w:ascii="Arial" w:hAnsi="Arial" w:cs="Arial"/>
              </w:rPr>
              <w:footnoteReference w:id="1"/>
            </w:r>
            <w:r w:rsidRPr="00A139EE">
              <w:rPr>
                <w:rFonts w:ascii="Arial" w:hAnsi="Arial" w:cs="Arial"/>
              </w:rPr>
              <w:t xml:space="preserve">. Neste sentido, projetos de refinarias típicas não possuem estudos de viabilidade para expedição rodoviária, condição necessária para a </w:t>
            </w:r>
            <w:proofErr w:type="gramStart"/>
            <w:r w:rsidRPr="00A139EE">
              <w:rPr>
                <w:rFonts w:ascii="Arial" w:hAnsi="Arial" w:cs="Arial"/>
              </w:rPr>
              <w:t>implementação</w:t>
            </w:r>
            <w:proofErr w:type="gramEnd"/>
            <w:r w:rsidRPr="00A139EE">
              <w:rPr>
                <w:rFonts w:ascii="Arial" w:hAnsi="Arial" w:cs="Arial"/>
              </w:rPr>
              <w:t xml:space="preserve"> da proposta apresentada nesta TPC. </w:t>
            </w:r>
          </w:p>
          <w:p w:rsidR="00A139EE" w:rsidRPr="00A139EE" w:rsidRDefault="00A139EE" w:rsidP="00A139EE">
            <w:pPr>
              <w:spacing w:before="120" w:after="120"/>
              <w:jc w:val="both"/>
              <w:rPr>
                <w:rFonts w:ascii="Arial" w:hAnsi="Arial" w:cs="Arial"/>
              </w:rPr>
            </w:pPr>
            <w:r w:rsidRPr="00A139EE">
              <w:rPr>
                <w:rFonts w:ascii="Arial" w:hAnsi="Arial" w:cs="Arial"/>
              </w:rPr>
              <w:t xml:space="preserve">Ademais, para viabilizar a entrega direta de refinarias para revendedores seria necessária a realização de misturas nas instalações de refino para atendimento aos teores de etanol e biodiesel exigidos na gasolina e no diesel, respectivamente, pelo marco legal brasileiro. Da mesma forma que a expedição rodoviária, esta atividade não é aderente ao papel das refinarias na cadeia de suprimentos no Brasil, podendo comprometer, inclusive, os requisitos de segurança de processos e de qualidade de produtos. </w:t>
            </w:r>
          </w:p>
          <w:p w:rsidR="00C13A89" w:rsidRPr="00A139EE" w:rsidRDefault="00A139EE" w:rsidP="00A139EE">
            <w:pPr>
              <w:spacing w:before="120" w:after="120"/>
              <w:jc w:val="both"/>
              <w:rPr>
                <w:rFonts w:ascii="Arial" w:eastAsia="Arial Unicode MS" w:hAnsi="Arial" w:cs="Arial"/>
              </w:rPr>
            </w:pPr>
            <w:r w:rsidRPr="00A139EE">
              <w:rPr>
                <w:rFonts w:ascii="Arial" w:hAnsi="Arial" w:cs="Arial"/>
              </w:rPr>
              <w:t>Em resumo, a hipótese de venda direta de refinarias para revendedores, apresentada nesta TPC, aponta para uma distorção dos papéis e responsabilidades dos diversos atores da cadeia de suprimento de combustíveis no Brasil, introduzindo insegurança para os negócios atualmente em operação e para a concretização dos esperados investimentos em infraestrutura logística e de refino.</w:t>
            </w:r>
          </w:p>
        </w:tc>
      </w:tr>
      <w:tr w:rsidR="00C13A89" w:rsidTr="00A90EC7">
        <w:trPr>
          <w:trHeight w:val="670"/>
        </w:trPr>
        <w:tc>
          <w:tcPr>
            <w:tcW w:w="1135"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tcPr>
          <w:p w:rsidR="00C13A89" w:rsidRPr="00A139EE" w:rsidRDefault="00C13A89" w:rsidP="00A139EE">
            <w:pPr>
              <w:spacing w:before="120" w:after="120"/>
              <w:rPr>
                <w:rFonts w:ascii="Arial" w:eastAsia="Arial Unicode MS" w:hAnsi="Arial" w:cs="Arial"/>
                <w:b/>
                <w:bCs/>
              </w:rPr>
            </w:pPr>
            <w:r w:rsidRPr="00A139EE">
              <w:rPr>
                <w:rFonts w:ascii="Arial" w:hAnsi="Arial" w:cs="Arial"/>
                <w:b/>
                <w:bCs/>
              </w:rPr>
              <w:t> </w:t>
            </w:r>
          </w:p>
          <w:p w:rsidR="00C13A89" w:rsidRPr="00A139EE" w:rsidRDefault="00C13A89" w:rsidP="00A139EE">
            <w:pPr>
              <w:spacing w:before="120" w:after="120"/>
              <w:rPr>
                <w:rFonts w:ascii="Arial" w:eastAsia="Arial Unicode MS" w:hAnsi="Arial" w:cs="Arial"/>
                <w:b/>
                <w:bCs/>
              </w:rPr>
            </w:pPr>
            <w:r w:rsidRPr="00A139EE">
              <w:rPr>
                <w:rFonts w:ascii="Arial" w:hAnsi="Arial" w:cs="Arial"/>
                <w:b/>
                <w:bCs/>
              </w:rPr>
              <w:t> </w:t>
            </w:r>
            <w:r w:rsidR="00A139EE">
              <w:rPr>
                <w:rFonts w:ascii="Arial" w:hAnsi="Arial" w:cs="Arial"/>
                <w:b/>
                <w:bCs/>
              </w:rPr>
              <w:t>Geral</w:t>
            </w:r>
          </w:p>
        </w:tc>
        <w:tc>
          <w:tcPr>
            <w:tcW w:w="2551" w:type="dxa"/>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tcPr>
          <w:p w:rsidR="00C13A89" w:rsidRPr="00A139EE" w:rsidRDefault="00A139EE" w:rsidP="00A139EE">
            <w:pPr>
              <w:spacing w:before="120" w:after="120"/>
              <w:rPr>
                <w:rFonts w:ascii="Arial" w:eastAsia="Arial Unicode MS" w:hAnsi="Arial" w:cs="Arial"/>
              </w:rPr>
            </w:pPr>
            <w:r>
              <w:rPr>
                <w:rFonts w:ascii="Arial" w:hAnsi="Arial" w:cs="Arial"/>
              </w:rPr>
              <w:t>Realização de análises de impactos regulatórios</w:t>
            </w:r>
          </w:p>
        </w:tc>
        <w:tc>
          <w:tcPr>
            <w:tcW w:w="10631"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Pr="00A139EE" w:rsidRDefault="003B66E5" w:rsidP="003B66E5">
            <w:pPr>
              <w:spacing w:before="120" w:after="120"/>
              <w:jc w:val="both"/>
              <w:rPr>
                <w:rFonts w:ascii="Arial" w:eastAsia="Arial Unicode MS" w:hAnsi="Arial" w:cs="Arial"/>
              </w:rPr>
            </w:pPr>
            <w:r>
              <w:rPr>
                <w:rFonts w:ascii="Arial" w:hAnsi="Arial" w:cs="Arial"/>
              </w:rPr>
              <w:t>A</w:t>
            </w:r>
            <w:r w:rsidR="00A139EE" w:rsidRPr="00A139EE">
              <w:rPr>
                <w:rFonts w:ascii="Arial" w:hAnsi="Arial" w:cs="Arial"/>
              </w:rPr>
              <w:t xml:space="preserve"> Petrobras reforça a necessidade da realização de estudos e de análises de impactos regulatórios anteriores </w:t>
            </w:r>
            <w:r w:rsidR="00453040">
              <w:rPr>
                <w:rFonts w:ascii="Arial" w:hAnsi="Arial" w:cs="Arial"/>
              </w:rPr>
              <w:t>à</w:t>
            </w:r>
            <w:r w:rsidR="00453040" w:rsidRPr="00A139EE">
              <w:rPr>
                <w:rFonts w:ascii="Arial" w:hAnsi="Arial" w:cs="Arial"/>
              </w:rPr>
              <w:t xml:space="preserve"> </w:t>
            </w:r>
            <w:r w:rsidR="00A139EE" w:rsidRPr="00A139EE">
              <w:rPr>
                <w:rFonts w:ascii="Arial" w:hAnsi="Arial" w:cs="Arial"/>
              </w:rPr>
              <w:t xml:space="preserve">proposição de reformas estruturais para o setor, considerando os vários aspectos e especificidades do mercado e da indústria de </w:t>
            </w:r>
            <w:proofErr w:type="spellStart"/>
            <w:r w:rsidR="00A139EE" w:rsidRPr="00C61011">
              <w:rPr>
                <w:rFonts w:ascii="Arial" w:hAnsi="Arial" w:cs="Arial"/>
                <w:i/>
              </w:rPr>
              <w:t>downstream</w:t>
            </w:r>
            <w:proofErr w:type="spellEnd"/>
            <w:r w:rsidR="00A139EE" w:rsidRPr="00A139EE">
              <w:rPr>
                <w:rFonts w:ascii="Arial" w:hAnsi="Arial" w:cs="Arial"/>
              </w:rPr>
              <w:t xml:space="preserve"> no Brasil. </w:t>
            </w:r>
          </w:p>
        </w:tc>
      </w:tr>
      <w:tr w:rsidR="00C13A89" w:rsidTr="00A90EC7">
        <w:trPr>
          <w:trHeight w:val="667"/>
        </w:trPr>
        <w:tc>
          <w:tcPr>
            <w:tcW w:w="1135"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tcPr>
          <w:p w:rsidR="00C13A89" w:rsidRPr="00A139EE" w:rsidRDefault="00C13A89" w:rsidP="00A139EE">
            <w:pPr>
              <w:spacing w:before="120" w:after="120"/>
              <w:rPr>
                <w:rFonts w:ascii="Arial" w:eastAsia="Arial Unicode MS" w:hAnsi="Arial" w:cs="Arial"/>
                <w:b/>
                <w:bCs/>
              </w:rPr>
            </w:pPr>
            <w:r w:rsidRPr="00A139EE">
              <w:rPr>
                <w:rFonts w:ascii="Arial" w:hAnsi="Arial" w:cs="Arial"/>
                <w:b/>
                <w:bCs/>
              </w:rPr>
              <w:t> </w:t>
            </w:r>
            <w:r w:rsidR="00A139EE">
              <w:rPr>
                <w:rFonts w:ascii="Arial" w:hAnsi="Arial" w:cs="Arial"/>
                <w:b/>
                <w:bCs/>
              </w:rPr>
              <w:t>Geral</w:t>
            </w:r>
          </w:p>
          <w:p w:rsidR="00C13A89" w:rsidRPr="00A139EE" w:rsidRDefault="00C13A89" w:rsidP="00A139EE">
            <w:pPr>
              <w:spacing w:before="120" w:after="120"/>
              <w:rPr>
                <w:rFonts w:ascii="Arial" w:eastAsia="Arial Unicode MS" w:hAnsi="Arial" w:cs="Arial"/>
                <w:b/>
                <w:bCs/>
                <w:color w:val="000000"/>
              </w:rPr>
            </w:pPr>
            <w:r w:rsidRPr="00A139EE">
              <w:rPr>
                <w:rFonts w:ascii="Arial" w:hAnsi="Arial" w:cs="Arial"/>
                <w:b/>
                <w:bCs/>
                <w:color w:val="000000"/>
              </w:rPr>
              <w:t> </w:t>
            </w:r>
          </w:p>
        </w:tc>
        <w:tc>
          <w:tcPr>
            <w:tcW w:w="2551" w:type="dxa"/>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tcPr>
          <w:p w:rsidR="00C13A89" w:rsidRPr="00A139EE" w:rsidRDefault="00C13A89" w:rsidP="00A139EE">
            <w:pPr>
              <w:spacing w:before="120" w:after="120"/>
              <w:rPr>
                <w:rFonts w:ascii="Arial" w:eastAsia="Arial Unicode MS" w:hAnsi="Arial" w:cs="Arial"/>
                <w:color w:val="000000"/>
              </w:rPr>
            </w:pPr>
            <w:r w:rsidRPr="00A139EE">
              <w:rPr>
                <w:rFonts w:ascii="Arial" w:hAnsi="Arial" w:cs="Arial"/>
                <w:color w:val="000000"/>
              </w:rPr>
              <w:t> </w:t>
            </w:r>
            <w:r w:rsidR="00A139EE">
              <w:rPr>
                <w:rFonts w:ascii="Arial" w:hAnsi="Arial" w:cs="Arial"/>
                <w:color w:val="000000"/>
              </w:rPr>
              <w:t>Conclusões</w:t>
            </w:r>
          </w:p>
        </w:tc>
        <w:tc>
          <w:tcPr>
            <w:tcW w:w="10631"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Pr="00A139EE" w:rsidRDefault="00A139EE" w:rsidP="00A139EE">
            <w:pPr>
              <w:spacing w:before="120" w:after="120"/>
              <w:jc w:val="both"/>
              <w:rPr>
                <w:rFonts w:ascii="Arial" w:eastAsia="Arial Unicode MS" w:hAnsi="Arial" w:cs="Arial"/>
              </w:rPr>
            </w:pPr>
            <w:r w:rsidRPr="00A139EE">
              <w:rPr>
                <w:rFonts w:ascii="Arial" w:hAnsi="Arial" w:cs="Arial"/>
              </w:rPr>
              <w:t>Por fim, a Petrobras sugere que esta Agência estude a possibilidade de dar tratamento às propostas desta TPC no âmbito do “Combustível Brasil”, iniciativa sob a coordenação do Governo Federal, composto por uma série de propostas com o objetivo de assegurar a oferta de combustíveis compatível com o crescimento da demanda do país por meio de ações que visam, dentre outros fins, a viabilização de investimentos em infraestrutura logística e de refino e o estimulo à concorrência.</w:t>
            </w:r>
          </w:p>
        </w:tc>
      </w:tr>
    </w:tbl>
    <w:p w:rsidR="004602FD" w:rsidRPr="00100689" w:rsidRDefault="00100689" w:rsidP="00100689">
      <w:pPr>
        <w:jc w:val="center"/>
        <w:rPr>
          <w:sz w:val="26"/>
          <w:szCs w:val="26"/>
        </w:rPr>
      </w:pPr>
      <w:r>
        <w:rPr>
          <w:rFonts w:ascii="Arial" w:eastAsia="Arial Unicode MS" w:hAnsi="Arial" w:cs="Arial"/>
          <w:sz w:val="24"/>
          <w:szCs w:val="24"/>
        </w:rPr>
        <w:t xml:space="preserve">Este formulário deverá ser encaminhado à ANP para o endereço eletrônico: </w:t>
      </w:r>
      <w:r w:rsidR="00C96874" w:rsidRPr="00C96874">
        <w:rPr>
          <w:rFonts w:ascii="Arial" w:eastAsia="Arial Unicode MS" w:hAnsi="Arial" w:cs="Arial"/>
          <w:i/>
          <w:sz w:val="24"/>
          <w:szCs w:val="24"/>
        </w:rPr>
        <w:t>tpc_</w:t>
      </w:r>
      <w:r w:rsidR="00A267DE">
        <w:rPr>
          <w:rFonts w:ascii="Arial" w:eastAsia="Arial Unicode MS" w:hAnsi="Arial" w:cs="Arial"/>
          <w:i/>
          <w:sz w:val="24"/>
          <w:szCs w:val="24"/>
        </w:rPr>
        <w:t>verticalizacao</w:t>
      </w:r>
      <w:r w:rsidR="00C96874" w:rsidRPr="00C96874">
        <w:rPr>
          <w:rFonts w:ascii="Arial" w:eastAsia="Arial Unicode MS" w:hAnsi="Arial" w:cs="Arial"/>
          <w:i/>
          <w:sz w:val="24"/>
          <w:szCs w:val="24"/>
        </w:rPr>
        <w:t>@anp.gov.br</w:t>
      </w:r>
      <w:r w:rsidR="00570C4C">
        <w:rPr>
          <w:rFonts w:ascii="Arial" w:eastAsia="Arial Unicode MS" w:hAnsi="Arial" w:cs="Arial"/>
          <w:sz w:val="24"/>
          <w:szCs w:val="24"/>
        </w:rPr>
        <w:t>.</w:t>
      </w:r>
    </w:p>
    <w:sectPr w:rsidR="004602FD" w:rsidRPr="00100689" w:rsidSect="00CF534B">
      <w:pgSz w:w="16840" w:h="11907" w:orient="landscape" w:code="9"/>
      <w:pgMar w:top="1418" w:right="1418"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854" w:rsidRDefault="00F11854" w:rsidP="00A139EE">
      <w:r>
        <w:separator/>
      </w:r>
    </w:p>
  </w:endnote>
  <w:endnote w:type="continuationSeparator" w:id="0">
    <w:p w:rsidR="00F11854" w:rsidRDefault="00F11854" w:rsidP="00A13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854" w:rsidRDefault="00F11854" w:rsidP="00A139EE">
      <w:r>
        <w:separator/>
      </w:r>
    </w:p>
  </w:footnote>
  <w:footnote w:type="continuationSeparator" w:id="0">
    <w:p w:rsidR="00F11854" w:rsidRDefault="00F11854" w:rsidP="00A139EE">
      <w:r>
        <w:continuationSeparator/>
      </w:r>
    </w:p>
  </w:footnote>
  <w:footnote w:id="1">
    <w:p w:rsidR="00A90EC7" w:rsidRDefault="00A90EC7">
      <w:pPr>
        <w:pStyle w:val="Textodenotaderodap"/>
      </w:pPr>
      <w:r>
        <w:rPr>
          <w:rStyle w:val="Refdenotaderodap"/>
        </w:rPr>
        <w:footnoteRef/>
      </w:r>
      <w:r>
        <w:t xml:space="preserve"> </w:t>
      </w:r>
      <w:r w:rsidRPr="00A90EC7">
        <w:t>Com exceção de produtos específicos, que devido à escala ou características físico-químicas, como lubrificantes, parafinas e asfaltos, são expedidos por meio de carregamento rodoviário.</w:t>
      </w:r>
      <w:bookmarkStart w:id="0" w:name="_GoBack"/>
      <w:bookmarkEnd w:id="0"/>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171446"/>
    <w:multiLevelType w:val="multilevel"/>
    <w:tmpl w:val="7B283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41813C9"/>
    <w:multiLevelType w:val="multilevel"/>
    <w:tmpl w:val="DF6E21D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an ">
    <w15:presenceInfo w15:providerId="AD" w15:userId="S-1-5-21-448539723-725345543-1417001333-918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C742C"/>
    <w:rsid w:val="0002343D"/>
    <w:rsid w:val="000303C4"/>
    <w:rsid w:val="00050F3F"/>
    <w:rsid w:val="000873C6"/>
    <w:rsid w:val="000C72BB"/>
    <w:rsid w:val="000C742C"/>
    <w:rsid w:val="000D4114"/>
    <w:rsid w:val="000F43D7"/>
    <w:rsid w:val="00100689"/>
    <w:rsid w:val="0010535D"/>
    <w:rsid w:val="001312BC"/>
    <w:rsid w:val="00153BBA"/>
    <w:rsid w:val="001C5D32"/>
    <w:rsid w:val="001F74A0"/>
    <w:rsid w:val="002109D6"/>
    <w:rsid w:val="002555FE"/>
    <w:rsid w:val="0026582D"/>
    <w:rsid w:val="002808DC"/>
    <w:rsid w:val="00287B41"/>
    <w:rsid w:val="00335A11"/>
    <w:rsid w:val="003B66E5"/>
    <w:rsid w:val="004017EF"/>
    <w:rsid w:val="00452D91"/>
    <w:rsid w:val="00453040"/>
    <w:rsid w:val="004602FD"/>
    <w:rsid w:val="00482F43"/>
    <w:rsid w:val="00494A88"/>
    <w:rsid w:val="004C5AA8"/>
    <w:rsid w:val="004E6BA1"/>
    <w:rsid w:val="00570C4C"/>
    <w:rsid w:val="00586DD3"/>
    <w:rsid w:val="005E2BE6"/>
    <w:rsid w:val="0063117B"/>
    <w:rsid w:val="006C7878"/>
    <w:rsid w:val="006E69BF"/>
    <w:rsid w:val="007220DF"/>
    <w:rsid w:val="00735912"/>
    <w:rsid w:val="00754009"/>
    <w:rsid w:val="00762754"/>
    <w:rsid w:val="00834A5C"/>
    <w:rsid w:val="0085243A"/>
    <w:rsid w:val="00852D24"/>
    <w:rsid w:val="008A4CF9"/>
    <w:rsid w:val="008C0A6C"/>
    <w:rsid w:val="008E1D4F"/>
    <w:rsid w:val="0096568C"/>
    <w:rsid w:val="009A7203"/>
    <w:rsid w:val="009B4815"/>
    <w:rsid w:val="009E5AD5"/>
    <w:rsid w:val="009F4F0E"/>
    <w:rsid w:val="00A139EE"/>
    <w:rsid w:val="00A225FB"/>
    <w:rsid w:val="00A267DE"/>
    <w:rsid w:val="00A8005F"/>
    <w:rsid w:val="00A90EC7"/>
    <w:rsid w:val="00A94E85"/>
    <w:rsid w:val="00AB6177"/>
    <w:rsid w:val="00AC5BC1"/>
    <w:rsid w:val="00AF2899"/>
    <w:rsid w:val="00B4490B"/>
    <w:rsid w:val="00B74C89"/>
    <w:rsid w:val="00B87441"/>
    <w:rsid w:val="00BB004F"/>
    <w:rsid w:val="00BC59FF"/>
    <w:rsid w:val="00BD479F"/>
    <w:rsid w:val="00BD5993"/>
    <w:rsid w:val="00C02634"/>
    <w:rsid w:val="00C13A89"/>
    <w:rsid w:val="00C61011"/>
    <w:rsid w:val="00C74BAD"/>
    <w:rsid w:val="00C96874"/>
    <w:rsid w:val="00CB4E90"/>
    <w:rsid w:val="00CC5472"/>
    <w:rsid w:val="00CD7D9E"/>
    <w:rsid w:val="00CF2605"/>
    <w:rsid w:val="00CF534B"/>
    <w:rsid w:val="00D060D3"/>
    <w:rsid w:val="00D11D93"/>
    <w:rsid w:val="00DC0FFA"/>
    <w:rsid w:val="00DE64B2"/>
    <w:rsid w:val="00E06319"/>
    <w:rsid w:val="00E51418"/>
    <w:rsid w:val="00EA1B67"/>
    <w:rsid w:val="00ED7714"/>
    <w:rsid w:val="00F026F8"/>
    <w:rsid w:val="00F11854"/>
    <w:rsid w:val="00F229D8"/>
    <w:rsid w:val="00FB0E77"/>
    <w:rsid w:val="00FD2C11"/>
    <w:rsid w:val="00FD3A8A"/>
    <w:rsid w:val="00FD66A5"/>
    <w:rsid w:val="00FF495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BE6"/>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rsid w:val="00CF2605"/>
    <w:pPr>
      <w:autoSpaceDE w:val="0"/>
      <w:autoSpaceDN w:val="0"/>
      <w:adjustRightInd w:val="0"/>
      <w:jc w:val="both"/>
    </w:pPr>
    <w:rPr>
      <w:color w:val="000000"/>
      <w:sz w:val="24"/>
      <w:szCs w:val="24"/>
    </w:rPr>
  </w:style>
  <w:style w:type="character" w:customStyle="1" w:styleId="CorpodetextoChar">
    <w:name w:val="Corpo de texto Char"/>
    <w:basedOn w:val="Fontepargpadro"/>
    <w:link w:val="Corpodetexto"/>
    <w:semiHidden/>
    <w:rsid w:val="00CF2605"/>
    <w:rPr>
      <w:color w:val="000000"/>
      <w:sz w:val="24"/>
      <w:szCs w:val="24"/>
    </w:rPr>
  </w:style>
  <w:style w:type="paragraph" w:styleId="Legenda">
    <w:name w:val="caption"/>
    <w:basedOn w:val="Normal"/>
    <w:next w:val="Normal"/>
    <w:qFormat/>
    <w:rsid w:val="00BD5993"/>
    <w:rPr>
      <w:rFonts w:ascii="Arial" w:hAnsi="Arial"/>
      <w:sz w:val="24"/>
    </w:rPr>
  </w:style>
  <w:style w:type="character" w:styleId="Hyperlink">
    <w:name w:val="Hyperlink"/>
    <w:basedOn w:val="Fontepargpadro"/>
    <w:uiPriority w:val="99"/>
    <w:unhideWhenUsed/>
    <w:rsid w:val="00100689"/>
    <w:rPr>
      <w:color w:val="0000FF"/>
      <w:u w:val="single"/>
    </w:rPr>
  </w:style>
  <w:style w:type="paragraph" w:styleId="Textodebalo">
    <w:name w:val="Balloon Text"/>
    <w:basedOn w:val="Normal"/>
    <w:link w:val="TextodebaloChar"/>
    <w:uiPriority w:val="99"/>
    <w:semiHidden/>
    <w:unhideWhenUsed/>
    <w:rsid w:val="008A4CF9"/>
    <w:rPr>
      <w:rFonts w:ascii="Segoe UI" w:hAnsi="Segoe UI" w:cs="Segoe UI"/>
      <w:sz w:val="18"/>
      <w:szCs w:val="18"/>
    </w:rPr>
  </w:style>
  <w:style w:type="character" w:customStyle="1" w:styleId="TextodebaloChar">
    <w:name w:val="Texto de balão Char"/>
    <w:basedOn w:val="Fontepargpadro"/>
    <w:link w:val="Textodebalo"/>
    <w:uiPriority w:val="99"/>
    <w:semiHidden/>
    <w:rsid w:val="008A4CF9"/>
    <w:rPr>
      <w:rFonts w:ascii="Segoe UI" w:hAnsi="Segoe UI" w:cs="Segoe UI"/>
      <w:sz w:val="18"/>
      <w:szCs w:val="18"/>
    </w:rPr>
  </w:style>
  <w:style w:type="paragraph" w:styleId="Textodenotaderodap">
    <w:name w:val="footnote text"/>
    <w:basedOn w:val="Normal"/>
    <w:link w:val="TextodenotaderodapChar"/>
    <w:uiPriority w:val="99"/>
    <w:semiHidden/>
    <w:unhideWhenUsed/>
    <w:rsid w:val="00A90EC7"/>
  </w:style>
  <w:style w:type="character" w:customStyle="1" w:styleId="TextodenotaderodapChar">
    <w:name w:val="Texto de nota de rodapé Char"/>
    <w:basedOn w:val="Fontepargpadro"/>
    <w:link w:val="Textodenotaderodap"/>
    <w:uiPriority w:val="99"/>
    <w:semiHidden/>
    <w:rsid w:val="00A90EC7"/>
  </w:style>
  <w:style w:type="character" w:styleId="Refdenotaderodap">
    <w:name w:val="footnote reference"/>
    <w:basedOn w:val="Fontepargpadro"/>
    <w:uiPriority w:val="99"/>
    <w:semiHidden/>
    <w:unhideWhenUsed/>
    <w:rsid w:val="00A90EC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85DFF-8B89-46CC-81A7-BF2E508FA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825</Words>
  <Characters>4925</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CONSULTA PÚBLICA PARA REVISÃO DA PORTARIA ANP 248/99</vt:lpstr>
    </vt:vector>
  </TitlesOfParts>
  <Company>Anp</Company>
  <LinksUpToDate>false</LinksUpToDate>
  <CharactersWithSpaces>5739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 PÚBLICA PARA REVISÃO DA PORTARIA ANP 248/99</dc:title>
  <dc:creator>Dean William Carmeis</dc:creator>
  <cp:lastModifiedBy>DANIELLA DALLA MAESTRI</cp:lastModifiedBy>
  <cp:revision>3</cp:revision>
  <cp:lastPrinted>2010-12-28T18:08:00Z</cp:lastPrinted>
  <dcterms:created xsi:type="dcterms:W3CDTF">2018-11-14T11:23:00Z</dcterms:created>
  <dcterms:modified xsi:type="dcterms:W3CDTF">2018-11-16T16:06:00Z</dcterms:modified>
</cp:coreProperties>
</file>